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10" w:rsidRDefault="00134EA9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3"/>
        </w:tabs>
        <w:spacing w:after="207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Załącznik nr 4 do Zarządzenia nr 11/2017 Rektora UR z 03.03.2017r. </w:t>
      </w:r>
    </w:p>
    <w:p w:rsidR="00293A10" w:rsidRDefault="00134EA9">
      <w:pPr>
        <w:pStyle w:val="Nagwek1"/>
      </w:pPr>
      <w:r>
        <w:t xml:space="preserve">SYLABUS </w:t>
      </w:r>
    </w:p>
    <w:p w:rsidR="00293A10" w:rsidRDefault="00134EA9">
      <w:pPr>
        <w:pStyle w:val="Nagwek2"/>
        <w:spacing w:after="0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2020-2023</w:t>
      </w:r>
      <w:bookmarkStart w:id="0" w:name="_GoBack"/>
      <w:bookmarkEnd w:id="0"/>
      <w:r>
        <w:rPr>
          <w:sz w:val="24"/>
        </w:rPr>
        <w:t xml:space="preserve"> </w:t>
      </w:r>
    </w:p>
    <w:p w:rsidR="00293A10" w:rsidRDefault="00134EA9">
      <w:pPr>
        <w:spacing w:after="8" w:line="249" w:lineRule="auto"/>
        <w:ind w:left="-5" w:right="3440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293A1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Język kobiet </w:t>
            </w:r>
            <w:r>
              <w:rPr>
                <w:rFonts w:ascii="Corbel" w:eastAsia="Corbel" w:hAnsi="Corbel" w:cs="Corbel"/>
                <w:b/>
                <w:i/>
                <w:sz w:val="24"/>
              </w:rPr>
              <w:t xml:space="preserve">vs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język mężczyzn. Język jako podstawa i bariera w komunikacji międzypłciowej. </w:t>
            </w:r>
          </w:p>
        </w:tc>
      </w:tr>
      <w:tr w:rsidR="00293A1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KM53 </w:t>
            </w:r>
          </w:p>
        </w:tc>
      </w:tr>
      <w:tr w:rsidR="00293A10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293A10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293A1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III, semestr 5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293A1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293A1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Agnieszka Iskra- Paczkowska </w:t>
            </w:r>
          </w:p>
        </w:tc>
      </w:tr>
      <w:tr w:rsidR="00293A1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Agnieszka Iskra- Paczkowska </w:t>
            </w:r>
          </w:p>
        </w:tc>
      </w:tr>
    </w:tbl>
    <w:p w:rsidR="00293A10" w:rsidRDefault="00134EA9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Style w:val="Nagwek3"/>
        <w:ind w:left="294" w:right="35"/>
      </w:pPr>
      <w:r>
        <w:t xml:space="preserve">1.1.Formy zajęć dydaktycznych, wymiar godzin i punktów ECTS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293A1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293A10" w:rsidRDefault="00134EA9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293A1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33" w:line="250" w:lineRule="auto"/>
        <w:ind w:left="709" w:right="6206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  <w:u w:val="single" w:color="000000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</w:t>
      </w:r>
      <w:r>
        <w:rPr>
          <w:rFonts w:ascii="Corbel" w:eastAsia="Corbel" w:hAnsi="Corbel" w:cs="Corbel"/>
          <w:sz w:val="24"/>
          <w:u w:val="single" w:color="000000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293A10" w:rsidRDefault="00134EA9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spacing w:after="5" w:line="250" w:lineRule="auto"/>
        <w:ind w:left="709" w:right="35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293A10" w:rsidRDefault="00134EA9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7" w:line="250" w:lineRule="auto"/>
        <w:ind w:left="103" w:hanging="10"/>
      </w:pPr>
      <w:r>
        <w:rPr>
          <w:rFonts w:ascii="Corbel" w:eastAsia="Corbel" w:hAnsi="Corbel" w:cs="Corbel"/>
          <w:sz w:val="24"/>
        </w:rPr>
        <w:t xml:space="preserve">Gotowość do dyskusji prezentowanych kwestii. </w:t>
      </w:r>
    </w:p>
    <w:p w:rsidR="00293A10" w:rsidRDefault="00134EA9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Style w:val="Nagwek3"/>
        <w:ind w:left="423" w:right="35"/>
      </w:pPr>
      <w:r>
        <w:t xml:space="preserve">3.1 Cele przedmiotu/modułu  </w:t>
      </w:r>
    </w:p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293A10">
        <w:trPr>
          <w:trHeight w:val="67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Wskazanie różnic (i ich źródeł) w posługiwaniu się językiem (w tym: mową ciała) przez mężc</w:t>
            </w:r>
            <w:r>
              <w:rPr>
                <w:rFonts w:ascii="Corbel" w:eastAsia="Corbel" w:hAnsi="Corbel" w:cs="Corbel"/>
                <w:sz w:val="24"/>
              </w:rPr>
              <w:t xml:space="preserve">zyzn i kobiety.   </w:t>
            </w:r>
          </w:p>
        </w:tc>
      </w:tr>
      <w:tr w:rsidR="00293A10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Uwrażliwienie na owe różnice.  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left="423" w:right="35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293A10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293A10" w:rsidRDefault="00134EA9">
            <w:pPr>
              <w:spacing w:after="0"/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EK_01-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Ma świadomość kompleksowej natury języka oraz jego złożoności i historyczno-kulturowej zmienności jego znaczeń.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293A1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EK_02-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Posiada umiejętność merytorycznego argumentowania, z wykorzystaniem poglądów innych autorów oraz formułowania wniosków.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K_U06 </w:t>
            </w:r>
          </w:p>
        </w:tc>
      </w:tr>
      <w:tr w:rsidR="00293A10">
        <w:trPr>
          <w:trHeight w:val="89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EK_03- </w:t>
            </w:r>
          </w:p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EK_04-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Pisze proste prace z samodzielnym doborem źródeł. Rozumie potrzebę samodzielnego pogłębiania wiedzy o komunikac</w:t>
            </w:r>
            <w:r>
              <w:rPr>
                <w:rFonts w:ascii="Corbel" w:eastAsia="Corbel" w:hAnsi="Corbel" w:cs="Corbel"/>
                <w:sz w:val="24"/>
              </w:rPr>
              <w:t xml:space="preserve">ji międzykulturowej.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right="243"/>
            </w:pPr>
            <w:r>
              <w:rPr>
                <w:rFonts w:ascii="Corbel" w:eastAsia="Corbel" w:hAnsi="Corbel" w:cs="Corbel"/>
                <w:sz w:val="24"/>
              </w:rPr>
              <w:t xml:space="preserve">K_U08  K_K01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left="423" w:right="35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293A10" w:rsidRDefault="00134EA9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293A10" w:rsidRDefault="00134EA9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293A1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293A1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</w:t>
      </w:r>
      <w:r>
        <w:rPr>
          <w:rFonts w:ascii="Corbel" w:eastAsia="Corbel" w:hAnsi="Corbel" w:cs="Corbel"/>
          <w:sz w:val="24"/>
          <w:u w:val="single" w:color="000000"/>
        </w:rPr>
        <w:t>konwersatoryjnych,</w:t>
      </w:r>
      <w:r>
        <w:rPr>
          <w:rFonts w:ascii="Corbel" w:eastAsia="Corbel" w:hAnsi="Corbel" w:cs="Corbel"/>
          <w:sz w:val="24"/>
        </w:rPr>
        <w:t xml:space="preserve"> laboratoryjnych, zajęć praktycznych  </w:t>
      </w:r>
    </w:p>
    <w:p w:rsidR="00293A10" w:rsidRDefault="00134EA9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293A10">
        <w:trPr>
          <w:trHeight w:val="1181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merytoryczne: </w:t>
            </w:r>
          </w:p>
          <w:p w:rsidR="00293A10" w:rsidRDefault="00134EA9">
            <w:pPr>
              <w:numPr>
                <w:ilvl w:val="0"/>
                <w:numId w:val="2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Jedna socjalizacja czy raczej dwie? O odmiennych strategiach socjalizacyjnych stosowanych wobec dziewczynek i chłopców (2 h).  </w:t>
            </w:r>
          </w:p>
          <w:p w:rsidR="00293A10" w:rsidRDefault="00134EA9">
            <w:pPr>
              <w:numPr>
                <w:ilvl w:val="0"/>
                <w:numId w:val="2"/>
              </w:numPr>
              <w:spacing w:after="0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Komunikacja werbalna kobiet i mężczyzn (3 h). </w:t>
            </w:r>
          </w:p>
        </w:tc>
      </w:tr>
      <w:tr w:rsidR="00293A1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Mowa ciała męska i żeńska (3 h). </w:t>
            </w:r>
          </w:p>
        </w:tc>
      </w:tr>
      <w:tr w:rsidR="00293A1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Przeszkody w komunikacji międzypłciowej (4 h). </w:t>
            </w:r>
          </w:p>
        </w:tc>
      </w:tr>
      <w:tr w:rsidR="00293A1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Czynniki wspierające komunikację między kobietami i mężczyznami (3 h). </w:t>
            </w:r>
          </w:p>
          <w:p w:rsidR="00293A10" w:rsidRDefault="00134EA9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left="423" w:right="35"/>
      </w:pPr>
      <w:r>
        <w:t>3.4 Metody dydaktyczne</w:t>
      </w:r>
      <w:r>
        <w:rPr>
          <w:b w:val="0"/>
        </w:rPr>
        <w:t xml:space="preserve">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293A10" w:rsidRDefault="00134EA9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</w:t>
      </w:r>
      <w:r>
        <w:rPr>
          <w:rFonts w:ascii="Corbel" w:eastAsia="Corbel" w:hAnsi="Corbel" w:cs="Corbel"/>
          <w:i/>
          <w:sz w:val="20"/>
        </w:rPr>
        <w:t xml:space="preserve">metody kształcenia na odległość  </w:t>
      </w:r>
    </w:p>
    <w:p w:rsidR="00293A10" w:rsidRDefault="00134EA9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</w:t>
      </w:r>
      <w:r>
        <w:rPr>
          <w:rFonts w:ascii="Corbel" w:eastAsia="Corbel" w:hAnsi="Corbel" w:cs="Corbel"/>
          <w:i/>
          <w:sz w:val="20"/>
          <w:u w:val="single" w:color="000000"/>
        </w:rPr>
        <w:t>analiza tekstów z dyskusją</w:t>
      </w:r>
      <w:r>
        <w:rPr>
          <w:rFonts w:ascii="Corbel" w:eastAsia="Corbel" w:hAnsi="Corbel" w:cs="Corbel"/>
          <w:i/>
          <w:sz w:val="20"/>
        </w:rPr>
        <w:t xml:space="preserve">, metoda projektów (projekt badawczy, wdrożeniowy, praktyczny), praca </w:t>
      </w:r>
    </w:p>
    <w:p w:rsidR="00293A10" w:rsidRDefault="00134EA9">
      <w:pPr>
        <w:spacing w:after="8" w:line="249" w:lineRule="auto"/>
        <w:ind w:left="-5" w:right="1055" w:hanging="10"/>
      </w:pPr>
      <w:r>
        <w:rPr>
          <w:rFonts w:ascii="Corbel" w:eastAsia="Corbel" w:hAnsi="Corbel" w:cs="Corbel"/>
          <w:i/>
          <w:sz w:val="20"/>
        </w:rPr>
        <w:t>w grupach (rozwiązywanie zadań, dyskusja),gry dydaktyczne, metody kształcenia na odległość  Laboratorium: wykonywa</w:t>
      </w:r>
      <w:r>
        <w:rPr>
          <w:rFonts w:ascii="Corbel" w:eastAsia="Corbel" w:hAnsi="Corbel" w:cs="Corbel"/>
          <w:i/>
          <w:sz w:val="20"/>
        </w:rPr>
        <w:t xml:space="preserve">nie doświadczeń, projektowanie doświadczeń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right="35"/>
      </w:pPr>
      <w:r>
        <w:t xml:space="preserve">4. METODY I KRYTERIA OCENY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Style w:val="Nagwek4"/>
        <w:ind w:left="423" w:right="35"/>
      </w:pPr>
      <w:r>
        <w:t xml:space="preserve">4.1 Sposoby weryfikacji efektów kształcenia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293A10">
        <w:trPr>
          <w:trHeight w:val="11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293A10" w:rsidRDefault="00134EA9">
            <w:pPr>
              <w:spacing w:after="1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24"/>
              </w:rPr>
              <w:t xml:space="preserve">np.: kolokwium, egzamin ustny, egzamin pisemny, projekt, sprawozdanie, obserwacja w </w:t>
            </w:r>
          </w:p>
          <w:p w:rsidR="00293A10" w:rsidRDefault="00134EA9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293A10" w:rsidRDefault="00134EA9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r>
              <w:rPr>
                <w:rFonts w:ascii="Corbel" w:eastAsia="Corbel" w:hAnsi="Corbel" w:cs="Corbel"/>
                <w:sz w:val="24"/>
                <w:u w:val="single" w:color="000000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., …) </w:t>
            </w:r>
          </w:p>
        </w:tc>
      </w:tr>
      <w:tr w:rsidR="00293A10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  ORAZ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4"/>
        <w:ind w:left="423" w:right="35"/>
      </w:pPr>
      <w:r>
        <w:t xml:space="preserve">4.2 </w:t>
      </w:r>
      <w:r>
        <w:t xml:space="preserve">Warunki zaliczenia przedmiotu (kryteria oceniania)  </w:t>
      </w:r>
    </w:p>
    <w:p w:rsidR="00293A10" w:rsidRDefault="00134EA9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93A10" w:rsidRDefault="00134EA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103" w:hanging="10"/>
      </w:pPr>
      <w:r>
        <w:rPr>
          <w:rFonts w:ascii="Corbel" w:eastAsia="Corbel" w:hAnsi="Corbel" w:cs="Corbel"/>
          <w:sz w:val="24"/>
        </w:rPr>
        <w:t xml:space="preserve">Warunkiem uzyskania zaliczenia jest odpowiednia frekwencja i aktywność na zajęciach oraz napisanie eseju.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left="284" w:right="35" w:hanging="284"/>
      </w:pPr>
      <w:r>
        <w:t>5. CAŁKOWITY NAKŁAD PRACY STUDENTA POTRZEBNY DO OSIĄGNIĘCIA ZAŁOŻONYCH EFEKTÓW W GODZINACH O</w:t>
      </w:r>
      <w:r>
        <w:t xml:space="preserve">RAZ PUNKTACH ECTS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293A10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A10" w:rsidRDefault="00134EA9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293A1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293A1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 (konsultacje) </w:t>
            </w:r>
          </w:p>
        </w:tc>
      </w:tr>
      <w:tr w:rsidR="00293A10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</w:t>
            </w:r>
            <w:r>
              <w:rPr>
                <w:rFonts w:ascii="Corbel" w:eastAsia="Corbel" w:hAnsi="Corbel" w:cs="Corbel"/>
                <w:sz w:val="24"/>
              </w:rPr>
              <w:t xml:space="preserve">praca własna studenta </w:t>
            </w:r>
          </w:p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(przygotowanie do zajęć) + 15 (napisanie eseju) </w:t>
            </w:r>
          </w:p>
        </w:tc>
      </w:tr>
      <w:tr w:rsidR="00293A10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293A1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293A10" w:rsidRDefault="00134EA9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>* Należy uwzględnić, że 1 pkt ECTS odpowiada 25-</w:t>
      </w:r>
      <w:r>
        <w:rPr>
          <w:rFonts w:ascii="Corbel" w:eastAsia="Corbel" w:hAnsi="Corbel" w:cs="Corbel"/>
          <w:i/>
          <w:sz w:val="24"/>
        </w:rPr>
        <w:t xml:space="preserve">30 godzin całkowitego nakładu pracy studenta.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right="35"/>
      </w:pPr>
      <w:r>
        <w:t xml:space="preserve">6. PRAKTYKI ZAWODOWE W RAMACH PRZEDMIOTU/ MODUŁU  </w:t>
      </w:r>
    </w:p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293A1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93A10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pStyle w:val="Nagwek3"/>
        <w:ind w:right="35"/>
      </w:pPr>
      <w:r>
        <w:t xml:space="preserve">7. LITERATURA  </w:t>
      </w:r>
    </w:p>
    <w:p w:rsidR="00293A10" w:rsidRDefault="00134EA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7515"/>
      </w:tblGrid>
      <w:tr w:rsidR="00293A10">
        <w:trPr>
          <w:trHeight w:val="5286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Oppermann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E. Weber,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Język kobiet język mężczyzn. Jak porozumieć się w miejscu pracy,  </w:t>
            </w:r>
            <w:r>
              <w:rPr>
                <w:rFonts w:ascii="Corbel" w:eastAsia="Corbel" w:hAnsi="Corbel" w:cs="Corbel"/>
                <w:sz w:val="24"/>
              </w:rPr>
              <w:t xml:space="preserve">przekł. J. Mańkowska, GWP, Gdańsk 2000.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Lipsitz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Bem,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Męskość kobiecość. O różnicach wynikających z płci, </w:t>
            </w:r>
            <w:r>
              <w:rPr>
                <w:rFonts w:ascii="Corbel" w:eastAsia="Corbel" w:hAnsi="Corbel" w:cs="Corbel"/>
                <w:sz w:val="24"/>
              </w:rPr>
              <w:t xml:space="preserve">przekł. S. Pikiel, GWP, Gdańsk 2000.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Tannen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Ty nic nie rozumiesz! Kobieta i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mężczyzna w rozmowie, </w:t>
            </w:r>
            <w:r>
              <w:rPr>
                <w:rFonts w:ascii="Corbel" w:eastAsia="Corbel" w:hAnsi="Corbel" w:cs="Corbel"/>
                <w:sz w:val="24"/>
              </w:rPr>
              <w:t xml:space="preserve">przeł.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Sylwanowicz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Zysk i s-ka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Poznań 1999.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Mosty zamiast murów. O komunikowaniu się między ludźmi, </w:t>
            </w:r>
            <w:r>
              <w:rPr>
                <w:rFonts w:ascii="Corbel" w:eastAsia="Corbel" w:hAnsi="Corbel" w:cs="Corbel"/>
                <w:sz w:val="24"/>
              </w:rPr>
              <w:t xml:space="preserve">PWN, Warszawa 2002.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2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C.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Komunikacja pozawerbalna. Znaczenie mowy ciała w miejscu pracy, </w:t>
            </w:r>
            <w:r>
              <w:rPr>
                <w:rFonts w:ascii="Corbel" w:eastAsia="Corbel" w:hAnsi="Corbel" w:cs="Corbel"/>
                <w:sz w:val="24"/>
              </w:rPr>
              <w:t xml:space="preserve">Warszawa 2012.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E. Głażewska,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Komunikacja niewerbalna. Płeć i kultura. Wybór zagadnień, </w:t>
            </w:r>
            <w:r>
              <w:rPr>
                <w:rFonts w:ascii="Corbel" w:eastAsia="Corbel" w:hAnsi="Corbel" w:cs="Corbel"/>
                <w:sz w:val="24"/>
              </w:rPr>
              <w:t xml:space="preserve">Lublin 2012.   </w:t>
            </w:r>
          </w:p>
          <w:p w:rsidR="00293A10" w:rsidRDefault="00134EA9">
            <w:pPr>
              <w:numPr>
                <w:ilvl w:val="0"/>
                <w:numId w:val="3"/>
              </w:numPr>
              <w:spacing w:after="0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A. Buczkowska,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Dwa różne światy, czyli jak socjalizuje się dziewczynkę i chłopca, </w:t>
            </w:r>
            <w:r>
              <w:rPr>
                <w:rFonts w:ascii="Corbel" w:eastAsia="Corbel" w:hAnsi="Corbel" w:cs="Corbel"/>
                <w:sz w:val="24"/>
              </w:rPr>
              <w:t xml:space="preserve">(w:) Brach-Czajna J. (red.),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Od kobiety do mężczyzny i z powrotem. Rozważania o płci w kulturze, </w:t>
            </w:r>
            <w:r>
              <w:rPr>
                <w:rFonts w:ascii="Corbel" w:eastAsia="Corbel" w:hAnsi="Corbel" w:cs="Corbel"/>
                <w:sz w:val="24"/>
              </w:rPr>
              <w:t>Tra</w:t>
            </w:r>
            <w:r>
              <w:rPr>
                <w:rFonts w:ascii="Corbel" w:eastAsia="Corbel" w:hAnsi="Corbel" w:cs="Corbel"/>
                <w:sz w:val="24"/>
              </w:rPr>
              <w:t xml:space="preserve">ns Humana, Białystok 1997, s. 169-196. </w:t>
            </w:r>
          </w:p>
        </w:tc>
      </w:tr>
      <w:tr w:rsidR="00293A10">
        <w:trPr>
          <w:trHeight w:val="1476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10" w:rsidRDefault="00134EA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293A10" w:rsidRDefault="00134EA9">
            <w:pPr>
              <w:numPr>
                <w:ilvl w:val="0"/>
                <w:numId w:val="4"/>
              </w:numPr>
              <w:spacing w:after="0" w:line="240" w:lineRule="auto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L. Brannon,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Psychologia rodzaju, </w:t>
            </w:r>
            <w:r>
              <w:rPr>
                <w:rFonts w:ascii="Corbel" w:eastAsia="Corbel" w:hAnsi="Corbel" w:cs="Corbel"/>
                <w:sz w:val="24"/>
              </w:rPr>
              <w:t xml:space="preserve">przeł. 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Kacmajor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GWP, Gdańsk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293A10" w:rsidRDefault="00134EA9">
            <w:pPr>
              <w:numPr>
                <w:ilvl w:val="0"/>
                <w:numId w:val="4"/>
              </w:numPr>
              <w:spacing w:after="0"/>
              <w:ind w:hanging="348"/>
            </w:pPr>
            <w:r>
              <w:rPr>
                <w:rFonts w:ascii="Corbel" w:eastAsia="Corbel" w:hAnsi="Corbel" w:cs="Corbel"/>
                <w:sz w:val="24"/>
              </w:rPr>
              <w:t xml:space="preserve">I. Kurcz,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Psychologia języka i komunikacji, </w:t>
            </w:r>
            <w:r>
              <w:rPr>
                <w:rFonts w:ascii="Corbel" w:eastAsia="Corbel" w:hAnsi="Corbel" w:cs="Corbel"/>
                <w:sz w:val="24"/>
              </w:rPr>
              <w:t>„Scholar”, Warszawa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93A10" w:rsidRDefault="00134EA9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293A10">
      <w:pgSz w:w="11906" w:h="16838"/>
      <w:pgMar w:top="1138" w:right="957" w:bottom="1185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53392"/>
    <w:multiLevelType w:val="hybridMultilevel"/>
    <w:tmpl w:val="464AE0B4"/>
    <w:lvl w:ilvl="0" w:tplc="157EE848">
      <w:start w:val="1"/>
      <w:numFmt w:val="decimal"/>
      <w:lvlText w:val="%1."/>
      <w:lvlJc w:val="left"/>
      <w:pPr>
        <w:ind w:left="7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E9460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8A9EDC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7AFE1A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24250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8468BC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80E6C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DC9CC2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047F16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3B4811"/>
    <w:multiLevelType w:val="hybridMultilevel"/>
    <w:tmpl w:val="FB22DA06"/>
    <w:lvl w:ilvl="0" w:tplc="D834F12C">
      <w:start w:val="1"/>
      <w:numFmt w:val="decimal"/>
      <w:lvlText w:val="%1."/>
      <w:lvlJc w:val="left"/>
      <w:pPr>
        <w:ind w:left="7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986CCA">
      <w:start w:val="1"/>
      <w:numFmt w:val="lowerLetter"/>
      <w:lvlText w:val="%2"/>
      <w:lvlJc w:val="left"/>
      <w:pPr>
        <w:ind w:left="15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9E80F0">
      <w:start w:val="1"/>
      <w:numFmt w:val="lowerRoman"/>
      <w:lvlText w:val="%3"/>
      <w:lvlJc w:val="left"/>
      <w:pPr>
        <w:ind w:left="22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3C6B7A">
      <w:start w:val="1"/>
      <w:numFmt w:val="decimal"/>
      <w:lvlText w:val="%4"/>
      <w:lvlJc w:val="left"/>
      <w:pPr>
        <w:ind w:left="29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2BD5A">
      <w:start w:val="1"/>
      <w:numFmt w:val="lowerLetter"/>
      <w:lvlText w:val="%5"/>
      <w:lvlJc w:val="left"/>
      <w:pPr>
        <w:ind w:left="37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83064">
      <w:start w:val="1"/>
      <w:numFmt w:val="lowerRoman"/>
      <w:lvlText w:val="%6"/>
      <w:lvlJc w:val="left"/>
      <w:pPr>
        <w:ind w:left="44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0C69D8">
      <w:start w:val="1"/>
      <w:numFmt w:val="decimal"/>
      <w:lvlText w:val="%7"/>
      <w:lvlJc w:val="left"/>
      <w:pPr>
        <w:ind w:left="51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7E9928">
      <w:start w:val="1"/>
      <w:numFmt w:val="lowerLetter"/>
      <w:lvlText w:val="%8"/>
      <w:lvlJc w:val="left"/>
      <w:pPr>
        <w:ind w:left="58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EA6A8">
      <w:start w:val="1"/>
      <w:numFmt w:val="lowerRoman"/>
      <w:lvlText w:val="%9"/>
      <w:lvlJc w:val="left"/>
      <w:pPr>
        <w:ind w:left="65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FF5807"/>
    <w:multiLevelType w:val="hybridMultilevel"/>
    <w:tmpl w:val="85C0AECE"/>
    <w:lvl w:ilvl="0" w:tplc="BBAC58B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6C1E2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CEA4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C9AE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25004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CAE31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A2780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C2BE8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4056B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DB015E4"/>
    <w:multiLevelType w:val="hybridMultilevel"/>
    <w:tmpl w:val="F23810AE"/>
    <w:lvl w:ilvl="0" w:tplc="51EE8EAE">
      <w:start w:val="1"/>
      <w:numFmt w:val="decimal"/>
      <w:lvlText w:val="%1."/>
      <w:lvlJc w:val="left"/>
      <w:pPr>
        <w:ind w:left="7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4829F8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F0B20A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EB4C8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EAE7C4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2BC4E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EAF7BA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6116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0E2F0A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A10"/>
    <w:rsid w:val="00134EA9"/>
    <w:rsid w:val="0029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3C13F"/>
  <w15:docId w15:val="{C2BD2233-85E2-475E-97A5-C0911441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78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830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2024-08-08T11:26:00Z</dcterms:created>
  <dcterms:modified xsi:type="dcterms:W3CDTF">2024-08-08T11:26:00Z</dcterms:modified>
</cp:coreProperties>
</file>